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C1" w:rsidRDefault="00D45FB3" w:rsidP="000A45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A453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A4530">
        <w:rPr>
          <w:rFonts w:ascii="TH SarabunIT๙" w:hAnsi="TH SarabunIT๙" w:cs="TH SarabunIT๙"/>
          <w:sz w:val="32"/>
          <w:szCs w:val="32"/>
          <w:cs/>
        </w:rPr>
        <w:tab/>
        <w:t>อุปกรณ์สอยผลไม้</w:t>
      </w:r>
    </w:p>
    <w:p w:rsidR="000A4530" w:rsidRDefault="000A4530" w:rsidP="000A4530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0A4530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ชื่อผู้จัดทำ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นายเถลิงศักดิ์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ดำนิล</w:t>
      </w:r>
    </w:p>
    <w:p w:rsidR="000A4530" w:rsidRPr="001A3543" w:rsidRDefault="000A4530" w:rsidP="000A4530">
      <w:pPr>
        <w:spacing w:after="0"/>
        <w:rPr>
          <w:rFonts w:ascii="TH SarabunPSK" w:hAnsi="TH SarabunPSK" w:cs="TH SarabunPSK"/>
          <w:sz w:val="32"/>
          <w:szCs w:val="32"/>
        </w:rPr>
      </w:pPr>
      <w:r w:rsidRPr="001A354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ช่างยนต์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3543">
        <w:rPr>
          <w:rFonts w:ascii="TH SarabunPSK" w:hAnsi="TH SarabunPSK" w:cs="TH SarabunPSK"/>
          <w:sz w:val="32"/>
          <w:szCs w:val="32"/>
          <w:cs/>
        </w:rPr>
        <w:t>วิทยาลัยการอาชีพคลองท่อม</w:t>
      </w:r>
    </w:p>
    <w:p w:rsidR="000A4530" w:rsidRPr="001A3543" w:rsidRDefault="000A4530" w:rsidP="000A4530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A354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อาจารย์ที่ปรึกษา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:  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สุวัฒ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ค้าของ</w:t>
      </w:r>
    </w:p>
    <w:p w:rsidR="000A4530" w:rsidRPr="001A3543" w:rsidRDefault="000A4530" w:rsidP="000A4530">
      <w:pPr>
        <w:spacing w:after="0"/>
        <w:rPr>
          <w:rFonts w:ascii="TH SarabunPSK" w:hAnsi="TH SarabunPSK" w:cs="TH SarabunPSK"/>
          <w:sz w:val="32"/>
          <w:szCs w:val="32"/>
        </w:rPr>
      </w:pPr>
      <w:r w:rsidRPr="001A354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1A3543">
        <w:rPr>
          <w:rFonts w:ascii="TH SarabunPSK" w:hAnsi="TH SarabunPSK" w:cs="TH SarabunPSK"/>
          <w:sz w:val="32"/>
          <w:szCs w:val="32"/>
          <w:cs/>
        </w:rPr>
        <w:t>:  ๒๕๕๗</w:t>
      </w:r>
    </w:p>
    <w:p w:rsidR="000A4530" w:rsidRPr="000A4530" w:rsidRDefault="000A4530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D45FB3" w:rsidRPr="000A4530" w:rsidRDefault="00D45FB3" w:rsidP="00D45FB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A4530">
        <w:rPr>
          <w:rFonts w:ascii="TH SarabunIT๙" w:hAnsi="TH SarabunIT๙" w:cs="TH SarabunIT๙"/>
          <w:b/>
          <w:bCs/>
          <w:sz w:val="32"/>
          <w:szCs w:val="32"/>
          <w:cs/>
        </w:rPr>
        <w:t>บทคัดย่อ</w:t>
      </w:r>
    </w:p>
    <w:p w:rsidR="00D45FB3" w:rsidRPr="000A4530" w:rsidRDefault="00D45FB3" w:rsidP="00D45FB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A4530">
        <w:rPr>
          <w:rFonts w:ascii="TH SarabunIT๙" w:eastAsia="+mj-ea" w:hAnsi="TH SarabunIT๙" w:cs="TH SarabunIT๙"/>
          <w:kern w:val="24"/>
          <w:sz w:val="32"/>
          <w:szCs w:val="32"/>
          <w:cs/>
        </w:rPr>
        <w:t>จากการสังเกตท้องถิ่น และชุมชนที่คณะผู้จัดทำอยู่อาศัยจึงเห็นได้ว่ามีผลไม้ท้องถิ่นและผลไม้อื่นๆหลากหลายชนิดซึ่งบางชนิดมีความยากลำบากในการเก็บผลมาบริโภคและผลไม้บางชนิดมีความบอบบางง่ายต่อการช้ำหรือแตก อีกทั้งผู้เก็บผลไม้ยังต้องเสี่ยงต่อหนามตามกิ่งและก้านจึงยากจะเก็บด้วยมือเปล่าและยังมีอันตรายจากมดและแมลงกัดอีกด้วยจึงทำให้เกิดอันตรายต่อผู้เก็บโดยตรงซึ่งโด</w:t>
      </w:r>
      <w:bookmarkStart w:id="0" w:name="_GoBack"/>
      <w:bookmarkEnd w:id="0"/>
      <w:r w:rsidRPr="000A4530">
        <w:rPr>
          <w:rFonts w:ascii="TH SarabunIT๙" w:eastAsia="+mj-ea" w:hAnsi="TH SarabunIT๙" w:cs="TH SarabunIT๙"/>
          <w:kern w:val="24"/>
          <w:sz w:val="32"/>
          <w:szCs w:val="32"/>
          <w:cs/>
        </w:rPr>
        <w:t>ยทั่วไปในการสอยผลไม้จะทำด้วยไม้ไผ่ยาว ซึ่งปัจจุบันถือว่าหาได้ยาก หรือใช้มือเก็บผลไม้ซึ่งอาจจะเกิดอันตรายต่อผู้เก็บหรือสอยผลไม้</w: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</w:rPr>
        <w:br/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  <w:cs/>
        </w:rPr>
        <w:t xml:space="preserve">              ดังนั้นคณะผู้จัดทำจึงมีแนวคิดที่จะผลิตอุปกรณ์สอยผลไม้ที่สามารถปรับความยาวตามต้นผลไม้ และลดอันตรายต่อผู้เก็บหรือสอยผลไม้ มีความสะดวก รวดเร็วและได้ผลไม้ที่มีคุณภาพ</w:t>
      </w:r>
    </w:p>
    <w:p w:rsidR="00D45FB3" w:rsidRPr="000A4530" w:rsidRDefault="00D45FB3" w:rsidP="00D45FB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A4530">
        <w:rPr>
          <w:rFonts w:ascii="TH SarabunIT๙" w:eastAsia="+mj-ea" w:hAnsi="TH SarabunIT๙" w:cs="TH SarabunIT๙"/>
          <w:kern w:val="24"/>
          <w:sz w:val="32"/>
          <w:szCs w:val="32"/>
          <w:cs/>
        </w:rPr>
        <w:t>จากการศึกษาวิจัยเพื่อทดสอบการเปรียบเทียบประสิทธิภาพการใช้งาน ไม้ไผ่กับอุปกรณ์สอยผลไม้ ปรากฏว่าอุปกรณ์สอยผลไม้มีประสิทธิภาพการใช้งานดีกว่าไม้ไผ่ทั้งด้านการจัดเก็บ น้ำหนัก อุปกรณ์สอยผลไม้สามารถปรับระยะได้แตกต่างจากไม้ไผ่ที่ไม่สามารถปรับระยะได้</w: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</w:rPr>
        <w:t xml:space="preserve">  </w: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  <w:cs/>
        </w:rPr>
        <w:t xml:space="preserve">จากการเปรียบเทียบระยะเวลา ๕ นาที ในการเก็บเกี่ยวมะม่วงมันระหว่างไม้ไผ่กับอุปกรณ์สอยไม้สรุปได้ว่าอุปกรณ์สอยผลไม้สามารถเก็บมะม่วงมันได้มากกว่าไม้ไผ่  ความพึงพอใจของผู้ใช้อุปกรณ์สอยผลไม้ เกี่ยวกับด้านโครงสร้าง ด้านการออกแบบและด้านการใช้งาน พบว่าผู้ใช้มีความพึงพอใจเฉลี่ยสูงสุดด้านการใช้งาน  </w: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</w:rPr>
        <w:t>(</w:t>
      </w:r>
      <w:r w:rsidR="000A4530" w:rsidRPr="001A3543">
        <w:rPr>
          <w:rFonts w:ascii="TH SarabunPSK" w:hAnsi="TH SarabunPSK" w:cs="TH SarabunPSK"/>
          <w:position w:val="-6"/>
          <w:sz w:val="32"/>
          <w:szCs w:val="32"/>
          <w:cs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17.4pt" o:ole="">
            <v:imagedata r:id="rId5" o:title=""/>
          </v:shape>
          <o:OLEObject Type="Embed" ProgID="Equation.3" ShapeID="_x0000_i1025" DrawAspect="Content" ObjectID="_1502531104" r:id="rId6"/>
        </w:objec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</w:rPr>
        <w:t xml:space="preserve"> =  3.97, S.D.=.401)</w: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  <w:cs/>
        </w:rPr>
        <w:t xml:space="preserve">  รองลงมาคือ ด้านโครงสร้างทั่วไป </w: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</w:rPr>
        <w:t>(</w:t>
      </w:r>
      <w:r w:rsidR="000A4530" w:rsidRPr="001A3543">
        <w:rPr>
          <w:rFonts w:ascii="TH SarabunPSK" w:hAnsi="TH SarabunPSK" w:cs="TH SarabunPSK"/>
          <w:position w:val="-6"/>
          <w:sz w:val="32"/>
          <w:szCs w:val="32"/>
          <w:cs/>
        </w:rPr>
        <w:object w:dxaOrig="200" w:dyaOrig="340">
          <v:shape id="_x0000_i1026" type="#_x0000_t75" style="width:9.6pt;height:17.4pt" o:ole="">
            <v:imagedata r:id="rId5" o:title=""/>
          </v:shape>
          <o:OLEObject Type="Embed" ProgID="Equation.3" ShapeID="_x0000_i1026" DrawAspect="Content" ObjectID="_1502531105" r:id="rId7"/>
        </w:objec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</w:rPr>
        <w:t xml:space="preserve"> = 4.13 , S.D.=.432)</w: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  <w:cs/>
        </w:rPr>
        <w:t xml:space="preserve">  และด้านการออกแบบ </w:t>
      </w:r>
      <w:r w:rsidR="000A4530">
        <w:rPr>
          <w:rFonts w:ascii="TH SarabunIT๙" w:eastAsia="+mj-ea" w:hAnsi="TH SarabunIT๙" w:cs="TH SarabunIT๙"/>
          <w:kern w:val="24"/>
          <w:sz w:val="32"/>
          <w:szCs w:val="32"/>
        </w:rPr>
        <w:t xml:space="preserve">( </w:t>
      </w:r>
      <w:r w:rsidR="000A4530" w:rsidRPr="001A3543">
        <w:rPr>
          <w:rFonts w:ascii="TH SarabunPSK" w:hAnsi="TH SarabunPSK" w:cs="TH SarabunPSK"/>
          <w:position w:val="-6"/>
          <w:sz w:val="32"/>
          <w:szCs w:val="32"/>
          <w:cs/>
        </w:rPr>
        <w:object w:dxaOrig="200" w:dyaOrig="340">
          <v:shape id="_x0000_i1027" type="#_x0000_t75" style="width:9.6pt;height:17.4pt" o:ole="">
            <v:imagedata r:id="rId5" o:title=""/>
          </v:shape>
          <o:OLEObject Type="Embed" ProgID="Equation.3" ShapeID="_x0000_i1027" DrawAspect="Content" ObjectID="_1502531106" r:id="rId8"/>
        </w:object>
      </w:r>
      <w:r w:rsidR="000A4530">
        <w:rPr>
          <w:rFonts w:ascii="TH SarabunIT๙" w:eastAsia="+mj-ea" w:hAnsi="TH SarabunIT๙" w:cs="TH SarabunIT๙"/>
          <w:kern w:val="24"/>
          <w:sz w:val="32"/>
          <w:szCs w:val="32"/>
        </w:rPr>
        <w:t>=3.98  , S.D.</w: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</w:rPr>
        <w:t>=.366)</w: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  <w:cs/>
        </w:rPr>
        <w:t xml:space="preserve">  </w:t>
      </w:r>
      <w:r w:rsidRPr="000A4530">
        <w:rPr>
          <w:rFonts w:ascii="TH SarabunIT๙" w:hAnsi="TH SarabunIT๙" w:cs="TH SarabunIT๙"/>
          <w:kern w:val="24"/>
          <w:sz w:val="32"/>
          <w:szCs w:val="32"/>
          <w:cs/>
        </w:rPr>
        <w:t>จาการศึกษาการเปรียบเทียบจากวัตถุประสงค์ทั้ง๒ด้านมีผลสรุปดังนี้</w:t>
      </w:r>
      <w:r w:rsidRPr="000A4530">
        <w:rPr>
          <w:rFonts w:ascii="TH SarabunIT๙" w:eastAsia="Calibri" w:hAnsi="TH SarabunIT๙" w:cs="TH SarabunIT๙"/>
          <w:kern w:val="24"/>
          <w:sz w:val="32"/>
          <w:szCs w:val="32"/>
        </w:rPr>
        <w:br/>
      </w:r>
      <w:r w:rsidRPr="000A4530">
        <w:rPr>
          <w:rFonts w:ascii="TH SarabunIT๙" w:hAnsi="TH SarabunIT๙" w:cs="TH SarabunIT๙"/>
          <w:kern w:val="24"/>
          <w:sz w:val="32"/>
          <w:szCs w:val="32"/>
        </w:rPr>
        <w:t> </w:t>
      </w:r>
      <w:r w:rsidRPr="000A4530">
        <w:rPr>
          <w:rFonts w:ascii="TH SarabunIT๙" w:hAnsi="TH SarabunIT๙" w:cs="TH SarabunIT๙"/>
          <w:kern w:val="24"/>
          <w:sz w:val="32"/>
          <w:szCs w:val="32"/>
          <w:cs/>
        </w:rPr>
        <w:tab/>
        <w:t>ด้านที่  ๑ เพื่อทดสอบการเปรียบเทียบประสิทธิภาพของอุปกรณ์สอยผลไม้แบบเก่า กับอุปกรณ์สอยผลไม้ที่คณะผู้จัดทำผลิตขึ้น  อุปกรณ์สอยผลไม้ที่คณะผู้จัดทำผลิตขึ้น คือ สามารถปรับระยะความยาวของไม้สอยได้สะดวก</w: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  <w:cs/>
        </w:rPr>
        <w:br/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  <w:cs/>
        </w:rPr>
        <w:tab/>
        <w:t xml:space="preserve">ด้านที่ ๒ แสดงค่าเฉลี่ยความพึงพอใจของผู้ใช้อุปกรณ์สอยผลไม้ เกี่ยวกับด้านโครงสร้าง ด้านการออกแบบและด้านการใช้งาน พบว่าผู้ใช้มีความพึงพอใจเฉลี่ยสูงสุดด้านการใช้งาน  </w: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</w:rPr>
        <w:t>(</w:t>
      </w:r>
      <w:r w:rsidR="000A4530" w:rsidRPr="001A3543">
        <w:rPr>
          <w:rFonts w:ascii="TH SarabunPSK" w:hAnsi="TH SarabunPSK" w:cs="TH SarabunPSK"/>
          <w:position w:val="-6"/>
          <w:sz w:val="32"/>
          <w:szCs w:val="32"/>
          <w:cs/>
        </w:rPr>
        <w:object w:dxaOrig="200" w:dyaOrig="340">
          <v:shape id="_x0000_i1028" type="#_x0000_t75" style="width:9.6pt;height:17.4pt" o:ole="">
            <v:imagedata r:id="rId5" o:title=""/>
          </v:shape>
          <o:OLEObject Type="Embed" ProgID="Equation.3" ShapeID="_x0000_i1028" DrawAspect="Content" ObjectID="_1502531107" r:id="rId9"/>
        </w:objec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</w:rPr>
        <w:t xml:space="preserve"> =  3.97, S.D.=.401)</w: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  <w:cs/>
        </w:rPr>
        <w:t xml:space="preserve">  รองลงมาคือ ด้านโครงสร้างทั่วไป </w: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</w:rPr>
        <w:t>(</w:t>
      </w:r>
      <w:r w:rsidR="000A4530" w:rsidRPr="001A3543">
        <w:rPr>
          <w:rFonts w:ascii="TH SarabunPSK" w:hAnsi="TH SarabunPSK" w:cs="TH SarabunPSK"/>
          <w:position w:val="-6"/>
          <w:sz w:val="32"/>
          <w:szCs w:val="32"/>
          <w:cs/>
        </w:rPr>
        <w:object w:dxaOrig="200" w:dyaOrig="340">
          <v:shape id="_x0000_i1029" type="#_x0000_t75" style="width:9.6pt;height:17.4pt" o:ole="">
            <v:imagedata r:id="rId5" o:title=""/>
          </v:shape>
          <o:OLEObject Type="Embed" ProgID="Equation.3" ShapeID="_x0000_i1029" DrawAspect="Content" ObjectID="_1502531108" r:id="rId10"/>
        </w:objec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</w:rPr>
        <w:t xml:space="preserve"> = 4.13 , S.D.=.432)</w: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  <w:cs/>
        </w:rPr>
        <w:t xml:space="preserve">  และด้านการออกแบบ </w: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</w:rPr>
        <w:t>(</w:t>
      </w:r>
      <w:r w:rsidR="000A4530" w:rsidRPr="001A3543">
        <w:rPr>
          <w:rFonts w:ascii="TH SarabunPSK" w:hAnsi="TH SarabunPSK" w:cs="TH SarabunPSK"/>
          <w:position w:val="-6"/>
          <w:sz w:val="32"/>
          <w:szCs w:val="32"/>
          <w:cs/>
        </w:rPr>
        <w:object w:dxaOrig="200" w:dyaOrig="340">
          <v:shape id="_x0000_i1030" type="#_x0000_t75" style="width:9.6pt;height:17.4pt" o:ole="">
            <v:imagedata r:id="rId5" o:title=""/>
          </v:shape>
          <o:OLEObject Type="Embed" ProgID="Equation.3" ShapeID="_x0000_i1030" DrawAspect="Content" ObjectID="_1502531109" r:id="rId11"/>
        </w:objec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</w:rPr>
        <w:t xml:space="preserve"> =3.98  , S.D..=.366)</w:t>
      </w:r>
      <w:r w:rsidRPr="000A4530">
        <w:rPr>
          <w:rFonts w:ascii="TH SarabunIT๙" w:eastAsia="+mj-ea" w:hAnsi="TH SarabunIT๙" w:cs="TH SarabunIT๙"/>
          <w:kern w:val="24"/>
          <w:sz w:val="32"/>
          <w:szCs w:val="32"/>
          <w:cs/>
        </w:rPr>
        <w:t xml:space="preserve">  อุปกรณ์สอยผลไม้ที่กลุ่มของผมผลิตขึ้น ด้านโครงสร้าง ด้านการออกแบบและด้านการใช้งาน พบว่าผู้ใช้มีความพึงพอใจเฉลี่ยสูงสุดด้านการใช้งาน กลุ่มกระผมมีความพึงพอใจกับผลสรุปที่ออกมาอย่างยิ่ง</w:t>
      </w:r>
    </w:p>
    <w:sectPr w:rsidR="00D45FB3" w:rsidRPr="000A4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5"/>
    <w:rsid w:val="000A4530"/>
    <w:rsid w:val="001E07B5"/>
    <w:rsid w:val="004136C1"/>
    <w:rsid w:val="00D4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2015-05-12T23:09:00Z</dcterms:created>
  <dcterms:modified xsi:type="dcterms:W3CDTF">2015-08-31T05:55:00Z</dcterms:modified>
</cp:coreProperties>
</file>